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9C98" w14:textId="77777777" w:rsidR="00603E29" w:rsidRPr="00603E29" w:rsidRDefault="00603E29" w:rsidP="00603E29">
      <w:pPr>
        <w:spacing w:after="0" w:line="240" w:lineRule="auto"/>
        <w:jc w:val="center"/>
        <w:rPr>
          <w:rFonts w:ascii="Lucida Calligraphy" w:eastAsia="Calibri" w:hAnsi="Lucida Calligraphy" w:cs="Times New Roman"/>
          <w:i/>
          <w:sz w:val="32"/>
          <w:szCs w:val="32"/>
        </w:rPr>
      </w:pPr>
      <w:r w:rsidRPr="00603E29">
        <w:rPr>
          <w:rFonts w:ascii="Lucida Calligraphy" w:eastAsia="Calibri" w:hAnsi="Lucida Calligraphy" w:cs="Times New Roman"/>
          <w:i/>
          <w:sz w:val="32"/>
          <w:szCs w:val="32"/>
        </w:rPr>
        <w:t>Bradley E Essman, JD, LL.M</w:t>
      </w:r>
    </w:p>
    <w:p w14:paraId="33365274" w14:textId="77777777" w:rsidR="00603E29" w:rsidRPr="00603E29" w:rsidRDefault="00603E29" w:rsidP="00603E29">
      <w:pPr>
        <w:spacing w:after="0" w:line="240" w:lineRule="auto"/>
        <w:jc w:val="center"/>
        <w:rPr>
          <w:rFonts w:ascii="Lucida Calligraphy" w:eastAsia="Calibri" w:hAnsi="Lucida Calligraphy" w:cs="Times New Roman"/>
          <w:i/>
          <w:sz w:val="24"/>
          <w:szCs w:val="24"/>
        </w:rPr>
      </w:pPr>
      <w:r w:rsidRPr="00603E29">
        <w:rPr>
          <w:rFonts w:ascii="Lucida Calligraphy" w:eastAsia="Calibri" w:hAnsi="Lucida Calligraphy" w:cs="Times New Roman"/>
          <w:i/>
          <w:sz w:val="24"/>
          <w:szCs w:val="24"/>
        </w:rPr>
        <w:t>General Counsel US, PLLC</w:t>
      </w:r>
    </w:p>
    <w:p w14:paraId="460600CF" w14:textId="77777777" w:rsidR="00603E29" w:rsidRPr="00603E29" w:rsidRDefault="00603E29" w:rsidP="00603E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E29">
        <w:rPr>
          <w:rFonts w:ascii="Times New Roman" w:eastAsia="Calibri" w:hAnsi="Times New Roman" w:cs="Times New Roman"/>
          <w:sz w:val="24"/>
          <w:szCs w:val="24"/>
        </w:rPr>
        <w:t>136 Fourth Street North, Suite 207</w:t>
      </w:r>
    </w:p>
    <w:p w14:paraId="6F59E8C7" w14:textId="77777777" w:rsidR="00603E29" w:rsidRPr="00603E29" w:rsidRDefault="00603E29" w:rsidP="00603E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E29">
        <w:rPr>
          <w:rFonts w:ascii="Times New Roman" w:eastAsia="Calibri" w:hAnsi="Times New Roman" w:cs="Times New Roman"/>
          <w:sz w:val="24"/>
          <w:szCs w:val="24"/>
        </w:rPr>
        <w:t>Saint Petersburg, FL 33701</w:t>
      </w:r>
    </w:p>
    <w:p w14:paraId="6744037D" w14:textId="698D844D" w:rsidR="00603E29" w:rsidRPr="00603E29" w:rsidRDefault="00603E29" w:rsidP="00603E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603E29">
        <w:rPr>
          <w:rFonts w:ascii="Times New Roman" w:eastAsia="Calibri" w:hAnsi="Times New Roman" w:cs="Times New Roman"/>
          <w:sz w:val="24"/>
          <w:szCs w:val="24"/>
        </w:rPr>
        <w:t>ain: 727-893-8077</w:t>
      </w:r>
    </w:p>
    <w:p w14:paraId="3746D383" w14:textId="77777777" w:rsidR="00603E29" w:rsidRPr="00603E29" w:rsidRDefault="00603E29" w:rsidP="00603E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E29">
        <w:rPr>
          <w:rFonts w:ascii="Times New Roman" w:eastAsia="Calibri" w:hAnsi="Times New Roman" w:cs="Times New Roman"/>
          <w:sz w:val="24"/>
          <w:szCs w:val="24"/>
        </w:rPr>
        <w:t>cell: 727-768-2121</w:t>
      </w:r>
    </w:p>
    <w:p w14:paraId="332D2128" w14:textId="77777777" w:rsidR="00603E29" w:rsidRPr="00603E29" w:rsidRDefault="00833F03" w:rsidP="00603E29">
      <w:pPr>
        <w:spacing w:after="0" w:line="300" w:lineRule="atLeast"/>
        <w:jc w:val="center"/>
        <w:rPr>
          <w:rFonts w:ascii="Times New Roman" w:eastAsia="Georgia" w:hAnsi="Times New Roman" w:cs="Times New Roman"/>
          <w:sz w:val="24"/>
          <w:szCs w:val="24"/>
        </w:rPr>
      </w:pPr>
      <w:hyperlink r:id="rId7" w:history="1">
        <w:r w:rsidR="00603E29" w:rsidRPr="00603E29">
          <w:rPr>
            <w:rFonts w:ascii="Times New Roman" w:eastAsia="Georgia" w:hAnsi="Times New Roman" w:cs="Times New Roman"/>
            <w:color w:val="0563C1"/>
            <w:sz w:val="24"/>
            <w:szCs w:val="24"/>
            <w:u w:val="single"/>
          </w:rPr>
          <w:t>Bradley@GeneralCounselUS.com</w:t>
        </w:r>
      </w:hyperlink>
    </w:p>
    <w:p w14:paraId="655DC9D4" w14:textId="77777777" w:rsidR="00603E29" w:rsidRPr="00603E29" w:rsidRDefault="00603E29" w:rsidP="00603E29">
      <w:pPr>
        <w:spacing w:after="0" w:line="300" w:lineRule="atLeast"/>
        <w:jc w:val="center"/>
        <w:rPr>
          <w:rFonts w:ascii="Georgia" w:eastAsia="Georgia" w:hAnsi="Georgia" w:cs="Georgia"/>
          <w:sz w:val="24"/>
          <w:szCs w:val="24"/>
        </w:rPr>
      </w:pPr>
    </w:p>
    <w:p w14:paraId="09229C49" w14:textId="77777777" w:rsidR="00B22A66" w:rsidRPr="00EF7AFA" w:rsidRDefault="005D270D" w:rsidP="00EF7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888888"/>
          <w:sz w:val="24"/>
          <w:szCs w:val="24"/>
          <w:highlight w:val="white"/>
          <w:u w:val="single"/>
          <w:lang w:val="en"/>
        </w:rPr>
      </w:pPr>
      <w:r w:rsidRPr="00EF7AFA">
        <w:rPr>
          <w:rFonts w:ascii="Times New Roman" w:hAnsi="Times New Roman" w:cs="Times New Roman"/>
          <w:caps/>
          <w:color w:val="888888"/>
          <w:sz w:val="24"/>
          <w:szCs w:val="24"/>
          <w:highlight w:val="white"/>
          <w:u w:val="single"/>
          <w:lang w:val="en"/>
        </w:rPr>
        <w:t>EXECUTIVE SUMMARY</w:t>
      </w:r>
    </w:p>
    <w:p w14:paraId="0FD25F49" w14:textId="3A613495" w:rsidR="00B22A66" w:rsidRPr="00603E29" w:rsidRDefault="005D270D" w:rsidP="00EF7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A licensed FL Attorney and licensed RE Broker, with an extensive background as general counsel/entrepreneur and law office founder, is now focused upon bringing this strong legal foundation and diverse skill set to </w:t>
      </w:r>
      <w:r w:rsidR="00EF7AFA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Entrepreneurs of varied levels in 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the Legal and Business community. With general and specific experience in both law and business</w:t>
      </w:r>
      <w:r w:rsidR="00EF7AFA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development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: litigation and transactions; domestic and global; established enterprises and start-ups;</w:t>
      </w:r>
      <w:r w:rsidR="00E76FF5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this remarkable skill-set was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forged via bold choices and hard</w:t>
      </w:r>
      <w:r w:rsidR="004E37AE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-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fought victories. Applying creativity and character mostly unknown to 'business-as-usual' approaches,</w:t>
      </w:r>
      <w:r w:rsidR="00E76FF5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yet alongside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an instinct to respect the proper role of established processes, uncommon results</w:t>
      </w:r>
      <w:r w:rsidR="00EF7AFA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will continue to</w:t>
      </w:r>
      <w:r w:rsidR="00E76FF5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emerge</w:t>
      </w:r>
      <w:r w:rsidR="00EF7AFA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. This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opportunity to </w:t>
      </w:r>
      <w:r w:rsidR="00E76FF5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em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pl</w:t>
      </w:r>
      <w:r w:rsidR="00E76FF5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o</w:t>
      </w:r>
      <w:r w:rsidR="00EF7AFA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y rare synergy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="00EF7AFA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&amp; added-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value </w:t>
      </w:r>
      <w:r w:rsidR="00E76FF5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to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="00EF7AFA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throughout a network of 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accomplished organization</w:t>
      </w:r>
      <w:r w:rsidR="00EF7AFA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s, promises expansive benefit for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="00EF7AFA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any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enterprise. </w:t>
      </w:r>
    </w:p>
    <w:p w14:paraId="32542E19" w14:textId="77777777" w:rsidR="00EF7AFA" w:rsidRDefault="005D270D" w:rsidP="00EF7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888888"/>
          <w:sz w:val="24"/>
          <w:szCs w:val="24"/>
          <w:highlight w:val="white"/>
          <w:u w:val="single"/>
          <w:lang w:val="en"/>
        </w:rPr>
      </w:pPr>
      <w:r w:rsidRPr="00EF7AFA">
        <w:rPr>
          <w:rFonts w:ascii="Times New Roman" w:hAnsi="Times New Roman" w:cs="Times New Roman"/>
          <w:caps/>
          <w:color w:val="888888"/>
          <w:sz w:val="24"/>
          <w:szCs w:val="24"/>
          <w:highlight w:val="white"/>
          <w:u w:val="single"/>
          <w:lang w:val="en"/>
        </w:rPr>
        <w:t>EMPLOYMENT HISTORY</w:t>
      </w:r>
    </w:p>
    <w:p w14:paraId="116200CA" w14:textId="62793CA3" w:rsidR="00B22A66" w:rsidRPr="002B4843" w:rsidRDefault="005D270D" w:rsidP="00525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</w:pPr>
      <w:r w:rsidRPr="002B4843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Attorney</w:t>
      </w:r>
    </w:p>
    <w:p w14:paraId="77C4ECF1" w14:textId="77777777" w:rsidR="00B22A66" w:rsidRPr="002B4843" w:rsidRDefault="005D270D" w:rsidP="002B4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</w:pPr>
      <w:r w:rsidRPr="002B4843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Law Offices of Bradley E. Essman, JD, LL.M. </w:t>
      </w:r>
    </w:p>
    <w:p w14:paraId="58C2D628" w14:textId="77777777" w:rsidR="00B22A66" w:rsidRPr="002B4843" w:rsidRDefault="005D270D" w:rsidP="002B4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2B484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St Petersburg, FL</w:t>
      </w:r>
    </w:p>
    <w:p w14:paraId="459E9911" w14:textId="19D224DC" w:rsidR="00B22A66" w:rsidRPr="002B4843" w:rsidRDefault="002B4843" w:rsidP="002B4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proofErr w:type="gramStart"/>
      <w:r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January,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1998 — Present (22+</w:t>
      </w:r>
      <w:r w:rsidR="005D270D" w:rsidRPr="002B484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years) </w:t>
      </w:r>
    </w:p>
    <w:p w14:paraId="70630786" w14:textId="40DDE7CF" w:rsidR="00B22A66" w:rsidRPr="00603E29" w:rsidRDefault="005D270D" w:rsidP="00603E2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50" w:hanging="360"/>
        <w:jc w:val="both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u w:val="single"/>
          <w:lang w:val="en"/>
        </w:rPr>
        <w:t>General Counsel / Business</w:t>
      </w:r>
      <w:r w:rsidR="0052585B">
        <w:rPr>
          <w:rFonts w:ascii="Times New Roman" w:hAnsi="Times New Roman" w:cs="Times New Roman"/>
          <w:color w:val="333333"/>
          <w:sz w:val="20"/>
          <w:szCs w:val="20"/>
          <w:highlight w:val="white"/>
          <w:u w:val="single"/>
          <w:lang w:val="en"/>
        </w:rPr>
        <w:t xml:space="preserve"> Development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u w:val="single"/>
          <w:lang w:val="en"/>
        </w:rPr>
        <w:t xml:space="preserve"> Consultant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–</w:t>
      </w:r>
      <w:r w:rsid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="00603E29" w:rsidRPr="00603E29">
        <w:rPr>
          <w:rFonts w:ascii="Times New Roman" w:hAnsi="Times New Roman" w:cs="Times New Roman"/>
          <w:b/>
          <w:color w:val="333333"/>
          <w:sz w:val="20"/>
          <w:szCs w:val="20"/>
          <w:highlight w:val="white"/>
          <w:lang w:val="en"/>
        </w:rPr>
        <w:t>1)</w:t>
      </w:r>
      <w:r w:rsid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Founder/Owner, </w:t>
      </w:r>
      <w:r w:rsidR="00603E29" w:rsidRPr="00AC477E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www.GeneralCounselUS.com</w:t>
      </w:r>
      <w:r w:rsidR="00603E29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– </w:t>
      </w:r>
      <w:r w:rsidR="00603E29" w:rsidRPr="00603E29">
        <w:rPr>
          <w:rFonts w:ascii="Times New Roman" w:hAnsi="Times New Roman" w:cs="Times New Roman"/>
          <w:i/>
          <w:color w:val="333333"/>
          <w:sz w:val="20"/>
          <w:szCs w:val="20"/>
          <w:highlight w:val="white"/>
          <w:lang w:val="en"/>
        </w:rPr>
        <w:t>A Business Incubator &amp; Accelerator</w:t>
      </w:r>
      <w:r w:rsidR="00603E29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law firm</w:t>
      </w:r>
      <w:r w:rsidR="008F2A7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, </w:t>
      </w:r>
      <w:r w:rsid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serving entrepreneurs of varied levels with a “Synergy of Legal and Business growth strategies”;</w:t>
      </w:r>
      <w:r w:rsidR="00AC477E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Indigenous populations in North America and Canada – Joint venture / M&amp;A and proprietary protocols for “Going Public &amp; Going Global”; multi-billion dollar RE development and construction;</w:t>
      </w:r>
      <w:r w:rsidR="00AB5D72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multi-million dollar commercial Conveyances &amp; Closings; </w:t>
      </w:r>
      <w:r w:rsid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="00603E29" w:rsidRPr="002B4843">
        <w:rPr>
          <w:rFonts w:ascii="Times New Roman" w:hAnsi="Times New Roman" w:cs="Times New Roman"/>
          <w:b/>
          <w:color w:val="333333"/>
          <w:sz w:val="20"/>
          <w:szCs w:val="20"/>
          <w:highlight w:val="white"/>
          <w:lang w:val="en"/>
        </w:rPr>
        <w:t>2)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="002B4843" w:rsidRPr="00AC477E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Litigation</w:t>
      </w:r>
      <w:r w:rsidR="00AC477E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—Appellate (Federal USCA appeals and State DCA) and </w:t>
      </w:r>
      <w:r w:rsidR="00AB5D72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Circuit Civil/ </w:t>
      </w:r>
      <w:r w:rsidR="00AC477E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trial court, </w:t>
      </w:r>
      <w:r w:rsidR="002B484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digital evidence review</w:t>
      </w:r>
      <w:r w:rsidR="00475B53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attorney on several </w:t>
      </w:r>
      <w:r w:rsidR="00F50D5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of the largest Multi-District Litigation</w:t>
      </w:r>
      <w:r w:rsidR="00AC477E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s</w:t>
      </w:r>
      <w:r w:rsidR="0052585B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(Bayer, Walmart, Healthcare providers, GE Capital, Credit </w:t>
      </w:r>
      <w:proofErr w:type="spellStart"/>
      <w:r w:rsidR="0052585B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Suisse,etc</w:t>
      </w:r>
      <w:proofErr w:type="spellEnd"/>
      <w:r w:rsidR="0052585B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.)</w:t>
      </w:r>
      <w:r w:rsidR="00F50D5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; </w:t>
      </w:r>
      <w:r w:rsidR="00F50D53" w:rsidRPr="00F50D53">
        <w:rPr>
          <w:rFonts w:ascii="Times New Roman" w:hAnsi="Times New Roman" w:cs="Times New Roman"/>
          <w:b/>
          <w:color w:val="333333"/>
          <w:sz w:val="20"/>
          <w:szCs w:val="20"/>
          <w:highlight w:val="white"/>
          <w:lang w:val="en"/>
        </w:rPr>
        <w:t xml:space="preserve">3) </w:t>
      </w:r>
      <w:r w:rsidR="00D9559A" w:rsidRPr="00AC477E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Co-counsel</w:t>
      </w:r>
      <w:r w:rsidR="00F50D53" w:rsidRPr="00AC477E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 xml:space="preserve"> Injury Litigation cases</w:t>
      </w:r>
      <w:r w:rsidR="00F50D5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with Kemp, </w:t>
      </w:r>
      <w:proofErr w:type="spellStart"/>
      <w:r w:rsidR="00F50D5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Ruge</w:t>
      </w:r>
      <w:proofErr w:type="spellEnd"/>
      <w:r w:rsidR="00F50D5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&amp; Green, marketing &amp; business development;</w:t>
      </w:r>
      <w:r w:rsidR="00FD7AFD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="00F50D53" w:rsidRPr="00F50D53">
        <w:rPr>
          <w:rFonts w:ascii="Times New Roman" w:hAnsi="Times New Roman" w:cs="Times New Roman"/>
          <w:b/>
          <w:color w:val="333333"/>
          <w:sz w:val="20"/>
          <w:szCs w:val="20"/>
          <w:highlight w:val="white"/>
          <w:lang w:val="en"/>
        </w:rPr>
        <w:t>4)</w:t>
      </w:r>
      <w:r w:rsidR="00F50D5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Pr="00AC477E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International Infrastructure Development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– </w:t>
      </w:r>
      <w:r w:rsidR="00F50D5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Energy, 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Agriculture, Real Est</w:t>
      </w:r>
      <w:r w:rsidR="00F50D5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ate, Power &amp; Water, disruptive technologies 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with a consortium of private partners</w:t>
      </w:r>
      <w:r w:rsidR="00F50D5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, public finance vehicles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and government </w:t>
      </w:r>
      <w:r w:rsidR="00F50D5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sources;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="00F50D53" w:rsidRPr="00F50D53">
        <w:rPr>
          <w:rFonts w:ascii="Times New Roman" w:hAnsi="Times New Roman" w:cs="Times New Roman"/>
          <w:b/>
          <w:color w:val="333333"/>
          <w:sz w:val="20"/>
          <w:szCs w:val="20"/>
          <w:highlight w:val="white"/>
          <w:lang w:val="en"/>
        </w:rPr>
        <w:t>5)</w:t>
      </w:r>
      <w:r w:rsidR="00F50D5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Pr="00AC477E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Invited member in MD International Incubator (MI2)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for business development, securities/finance,</w:t>
      </w:r>
      <w:r w:rsidR="00475B53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M&amp;A -- </w:t>
      </w:r>
      <w:r w:rsid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dozens of global </w:t>
      </w:r>
      <w:r w:rsidR="00475B53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reverse mergers,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government </w:t>
      </w:r>
      <w:r w:rsidR="00475B53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liaison/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consulting, energy technologies development, etc.. </w:t>
      </w:r>
      <w:r w:rsidR="00F50D53" w:rsidRPr="00F50D53">
        <w:rPr>
          <w:rFonts w:ascii="Times New Roman" w:hAnsi="Times New Roman" w:cs="Times New Roman"/>
          <w:b/>
          <w:color w:val="333333"/>
          <w:sz w:val="20"/>
          <w:szCs w:val="20"/>
          <w:highlight w:val="white"/>
          <w:lang w:val="en"/>
        </w:rPr>
        <w:t>6)</w:t>
      </w:r>
      <w:r w:rsidR="00F50D5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="00475B53" w:rsidRPr="00AC477E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Business Brokerage, M&amp;A, franchising consultant</w:t>
      </w:r>
      <w:r w:rsidR="00F50D5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, as active Lic’d FL RE Broker; </w:t>
      </w:r>
      <w:r w:rsidR="00F50D53" w:rsidRPr="00F50D53">
        <w:rPr>
          <w:rFonts w:ascii="Times New Roman" w:hAnsi="Times New Roman" w:cs="Times New Roman"/>
          <w:b/>
          <w:color w:val="333333"/>
          <w:sz w:val="20"/>
          <w:szCs w:val="20"/>
          <w:highlight w:val="white"/>
          <w:lang w:val="en"/>
        </w:rPr>
        <w:t>7)</w:t>
      </w:r>
      <w:r w:rsidR="00F50D5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Pr="00AC477E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 xml:space="preserve">General counsel for start-up </w:t>
      </w:r>
      <w:r w:rsidR="00F50D53" w:rsidRPr="00AC477E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 xml:space="preserve">&amp; established </w:t>
      </w:r>
      <w:r w:rsidRPr="00AC477E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companies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in: </w:t>
      </w:r>
      <w:r w:rsidR="008F2A7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public company Securities &amp; General Counsel </w:t>
      </w:r>
      <w:r w:rsid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–</w:t>
      </w:r>
      <w:r w:rsidR="008F2A7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RE construction &amp;</w:t>
      </w:r>
      <w:r w:rsidR="00AC477E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development, </w:t>
      </w:r>
      <w:r w:rsidR="008F2A7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MMA sports </w:t>
      </w:r>
      <w:r w:rsidR="00F50D5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Live </w:t>
      </w:r>
      <w:r w:rsidR="008F2A73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digital broadcasting/distribution &amp; league business development/promotions, 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music publishing and record label development, copyright administration and licensing; FCC frequency licensing auctions, </w:t>
      </w:r>
      <w:r w:rsid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private/public 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fundraising, electronics distribution, floor safety services,</w:t>
      </w:r>
      <w:r w:rsid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Energy technologies,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student loan consolidations, hurricane protection, office management services</w:t>
      </w:r>
      <w:r w:rsid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, Seafood sourcing/distribution, metallurgical technologies</w:t>
      </w:r>
      <w:r w:rsidR="00C46B1E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, distressed commercial RE funding</w:t>
      </w:r>
      <w:r w:rsid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… to name a few; and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a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lso</w:t>
      </w:r>
      <w:r w:rsidR="00475B53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,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="0085556C" w:rsidRPr="0085556C">
        <w:rPr>
          <w:rFonts w:ascii="Times New Roman" w:hAnsi="Times New Roman" w:cs="Times New Roman"/>
          <w:b/>
          <w:color w:val="333333"/>
          <w:sz w:val="20"/>
          <w:szCs w:val="20"/>
          <w:highlight w:val="white"/>
          <w:lang w:val="en"/>
        </w:rPr>
        <w:t>8</w:t>
      </w:r>
      <w:r w:rsidR="0085556C" w:rsidRPr="00AC477E">
        <w:rPr>
          <w:rFonts w:ascii="Times New Roman" w:hAnsi="Times New Roman" w:cs="Times New Roman"/>
          <w:b/>
          <w:color w:val="333333"/>
          <w:sz w:val="20"/>
          <w:szCs w:val="20"/>
          <w:highlight w:val="white"/>
          <w:lang w:val="en"/>
        </w:rPr>
        <w:t xml:space="preserve">) </w:t>
      </w:r>
      <w:r w:rsidR="00475B53" w:rsidRPr="00AC477E">
        <w:rPr>
          <w:rFonts w:ascii="Times New Roman" w:hAnsi="Times New Roman" w:cs="Times New Roman"/>
          <w:b/>
          <w:color w:val="333333"/>
          <w:sz w:val="20"/>
          <w:szCs w:val="20"/>
          <w:highlight w:val="white"/>
          <w:u w:val="single"/>
          <w:lang w:val="en"/>
        </w:rPr>
        <w:t>L</w:t>
      </w:r>
      <w:r w:rsidRPr="00AC477E">
        <w:rPr>
          <w:rFonts w:ascii="Times New Roman" w:hAnsi="Times New Roman" w:cs="Times New Roman"/>
          <w:b/>
          <w:color w:val="333333"/>
          <w:sz w:val="20"/>
          <w:szCs w:val="20"/>
          <w:highlight w:val="white"/>
          <w:u w:val="single"/>
          <w:lang w:val="en"/>
        </w:rPr>
        <w:t xml:space="preserve">egal </w:t>
      </w:r>
      <w:r w:rsidR="00475B53" w:rsidRPr="00AC477E">
        <w:rPr>
          <w:rFonts w:ascii="Times New Roman" w:hAnsi="Times New Roman" w:cs="Times New Roman"/>
          <w:b/>
          <w:color w:val="333333"/>
          <w:sz w:val="20"/>
          <w:szCs w:val="20"/>
          <w:highlight w:val="white"/>
          <w:u w:val="single"/>
          <w:lang w:val="en"/>
        </w:rPr>
        <w:t>S</w:t>
      </w:r>
      <w:r w:rsidRPr="00AC477E">
        <w:rPr>
          <w:rFonts w:ascii="Times New Roman" w:hAnsi="Times New Roman" w:cs="Times New Roman"/>
          <w:b/>
          <w:color w:val="333333"/>
          <w:sz w:val="20"/>
          <w:szCs w:val="20"/>
          <w:highlight w:val="white"/>
          <w:u w:val="single"/>
          <w:lang w:val="en"/>
        </w:rPr>
        <w:t>ervices in civil litigation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, international</w:t>
      </w:r>
      <w:r w:rsid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&amp; domestic RE finance and real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development, domestic real estate, probate, Title Ins/closings/mortgage law, </w:t>
      </w:r>
      <w:r w:rsidR="00475B53" w:rsidRPr="00603E29">
        <w:rPr>
          <w:rFonts w:ascii="Times New Roman" w:hAnsi="Times New Roman" w:cs="Times New Roman"/>
          <w:color w:val="333333"/>
          <w:sz w:val="20"/>
          <w:szCs w:val="20"/>
          <w:lang w:val="en"/>
        </w:rPr>
        <w:t>foreclosure defense,</w:t>
      </w:r>
      <w:r w:rsidR="00475B53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elder, employment, bankruptcy; business and real estate brokerage; formerly admitted to the Middle District Bankruptcy Court; and more</w:t>
      </w:r>
      <w:r w:rsid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..</w:t>
      </w:r>
      <w:r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. </w:t>
      </w:r>
    </w:p>
    <w:p w14:paraId="72C8AAD4" w14:textId="5C37577E" w:rsidR="00B22A66" w:rsidRPr="00603E29" w:rsidRDefault="00EF7AFA" w:rsidP="00603E2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50" w:hanging="360"/>
        <w:jc w:val="both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EF7AFA">
        <w:rPr>
          <w:rFonts w:ascii="Times New Roman" w:hAnsi="Times New Roman" w:cs="Times New Roman"/>
          <w:b/>
          <w:color w:val="333333"/>
          <w:sz w:val="20"/>
          <w:szCs w:val="20"/>
          <w:highlight w:val="white"/>
          <w:lang w:val="en"/>
        </w:rPr>
        <w:t>9)</w:t>
      </w:r>
      <w:r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="005D270D"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u w:val="single"/>
          <w:lang w:val="en"/>
        </w:rPr>
        <w:t>Entrepreneur Law</w:t>
      </w:r>
      <w:r w:rsidR="005D270D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--</w:t>
      </w:r>
      <w:r w:rsidR="005D270D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="005D270D"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u w:val="single"/>
          <w:lang w:val="en"/>
        </w:rPr>
        <w:t>founder, board member, consultant</w:t>
      </w:r>
      <w:r w:rsidR="0085556C"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u w:val="single"/>
          <w:lang w:val="en"/>
        </w:rPr>
        <w:t>, crisis manager</w:t>
      </w:r>
      <w:r w:rsidR="005D270D"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u w:val="single"/>
          <w:lang w:val="en"/>
        </w:rPr>
        <w:t xml:space="preserve"> and equity participant</w:t>
      </w:r>
      <w:r w:rsidR="005D270D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in various start-up enterprises, directing broad-based resources to specific needs for both human and financial capital requirements. The uniquely challenging demands of start-ups developed </w:t>
      </w:r>
      <w:r w:rsidR="00BA72D9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a highly</w:t>
      </w:r>
      <w:r w:rsidR="005D270D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diverse skill set, </w:t>
      </w:r>
      <w:r w:rsidR="00BA72D9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as a </w:t>
      </w:r>
      <w:r w:rsidR="005D270D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qualif</w:t>
      </w:r>
      <w:r w:rsidR="00BA72D9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ication</w:t>
      </w:r>
      <w:r w:rsidR="005D270D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for </w:t>
      </w:r>
      <w:r w:rsidR="00BA72D9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intersecting</w:t>
      </w:r>
      <w:r w:rsidR="005D270D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challenge</w:t>
      </w:r>
      <w:r w:rsidR="00BA72D9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s</w:t>
      </w:r>
      <w:r w:rsidR="005D270D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in both law and business.</w:t>
      </w:r>
    </w:p>
    <w:p w14:paraId="174E746A" w14:textId="4BD0FBB1" w:rsidR="00B22A66" w:rsidRPr="00603E29" w:rsidRDefault="00EF7AFA" w:rsidP="00603E2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50" w:hanging="360"/>
        <w:jc w:val="both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52585B">
        <w:rPr>
          <w:rFonts w:ascii="Times New Roman" w:hAnsi="Times New Roman" w:cs="Times New Roman"/>
          <w:b/>
          <w:color w:val="333333"/>
          <w:sz w:val="20"/>
          <w:szCs w:val="20"/>
          <w:highlight w:val="white"/>
          <w:lang w:val="en"/>
        </w:rPr>
        <w:t>10)</w:t>
      </w:r>
      <w:r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="005D270D"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u w:val="single"/>
          <w:lang w:val="en"/>
        </w:rPr>
        <w:t>Litigation practice</w:t>
      </w:r>
      <w:r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--</w:t>
      </w:r>
      <w:r w:rsidR="005D270D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primarily focused upon Real Estate mortgage law and business civil law expanding vision to the critical and unpredictable consequences of the courtroom and its settlement processes.</w:t>
      </w:r>
    </w:p>
    <w:p w14:paraId="37D4C17A" w14:textId="6E78FEE9" w:rsidR="00B22A66" w:rsidRPr="00603E29" w:rsidRDefault="0052585B" w:rsidP="00603E2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50" w:hanging="360"/>
        <w:jc w:val="both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52585B">
        <w:rPr>
          <w:rFonts w:ascii="Times New Roman" w:hAnsi="Times New Roman" w:cs="Times New Roman"/>
          <w:b/>
          <w:color w:val="333333"/>
          <w:sz w:val="20"/>
          <w:szCs w:val="20"/>
          <w:highlight w:val="white"/>
          <w:lang w:val="en"/>
        </w:rPr>
        <w:t>11)</w:t>
      </w:r>
      <w:r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="005D270D"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u w:val="single"/>
          <w:lang w:val="en"/>
        </w:rPr>
        <w:t>Transactional practice</w:t>
      </w:r>
      <w:r w:rsidR="00EF7AFA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--</w:t>
      </w:r>
      <w:r w:rsidR="005D270D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from Title Closings in RE transactions and RE Development planning to International private capital and Securities practice, the experience of leading business development, culminating in Wa</w:t>
      </w:r>
      <w:r w:rsidR="00C46B1E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shington DC with the University of </w:t>
      </w:r>
      <w:r w:rsidR="005D270D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Maryland International Incubator (</w:t>
      </w:r>
      <w:r w:rsidR="00C46B1E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“</w:t>
      </w:r>
      <w:r w:rsidR="005D270D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MI2</w:t>
      </w:r>
      <w:r w:rsidR="00C46B1E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”</w:t>
      </w:r>
      <w:r w:rsidR="005D270D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) synthesized the applied skill set for Mergers &amp; Acquisitions (including Reverse mergers and Business brokerage) as well.</w:t>
      </w:r>
    </w:p>
    <w:p w14:paraId="780F3D48" w14:textId="280DE6A7" w:rsidR="00B22A66" w:rsidRPr="00603E29" w:rsidRDefault="0052585B" w:rsidP="00603E2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50" w:hanging="360"/>
        <w:jc w:val="both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52585B">
        <w:rPr>
          <w:rFonts w:ascii="Times New Roman" w:hAnsi="Times New Roman" w:cs="Times New Roman"/>
          <w:b/>
          <w:color w:val="333333"/>
          <w:sz w:val="20"/>
          <w:szCs w:val="20"/>
          <w:highlight w:val="white"/>
          <w:lang w:val="en"/>
        </w:rPr>
        <w:t>12)</w:t>
      </w:r>
      <w:r w:rsidR="005D270D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="005D270D"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u w:val="single"/>
          <w:lang w:val="en"/>
        </w:rPr>
        <w:t>International private practice</w:t>
      </w:r>
      <w:r w:rsidR="005D270D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  <w:r w:rsidR="00C46B1E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--</w:t>
      </w:r>
      <w:r w:rsidR="005D270D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consulting for both global banking and business planning up to economic development by Holding Company representation and Trust</w:t>
      </w:r>
      <w:r w:rsidR="00BA72D9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investment</w:t>
      </w:r>
      <w:r w:rsidR="005D270D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management</w:t>
      </w:r>
      <w:r w:rsidR="00FD7AFD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; Global Compliance data systems</w:t>
      </w:r>
      <w:r w:rsid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, etc.</w:t>
      </w:r>
      <w:r w:rsidR="005D270D" w:rsidRPr="00603E29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.</w:t>
      </w:r>
    </w:p>
    <w:p w14:paraId="7BAEFCCC" w14:textId="77777777" w:rsidR="00B22A66" w:rsidRPr="0085556C" w:rsidRDefault="005D270D" w:rsidP="008555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ind w:left="720" w:hanging="360"/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</w:pPr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Attorney</w:t>
      </w:r>
    </w:p>
    <w:p w14:paraId="032511E1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75" w:line="240" w:lineRule="auto"/>
        <w:ind w:left="360"/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</w:pPr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Assistant State Attorney</w:t>
      </w:r>
    </w:p>
    <w:p w14:paraId="2E24616F" w14:textId="77777777" w:rsidR="0052585B" w:rsidRDefault="005D270D" w:rsidP="00525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Hillsborough County - Tampa, FL</w:t>
      </w:r>
    </w:p>
    <w:p w14:paraId="61649FB5" w14:textId="44BAA3F5" w:rsidR="00B22A66" w:rsidRPr="0085556C" w:rsidRDefault="005D270D" w:rsidP="00525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lastRenderedPageBreak/>
        <w:t>January, 1997 — January, 1998 (1 year)</w:t>
      </w:r>
    </w:p>
    <w:p w14:paraId="6C4FD265" w14:textId="6AF7B255" w:rsidR="00B22A66" w:rsidRPr="0085556C" w:rsidRDefault="005D270D" w:rsidP="008555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jc w:val="both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FL </w:t>
      </w:r>
      <w:r w:rsidR="00C46B1E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licensed </w:t>
      </w: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Attorney</w:t>
      </w:r>
    </w:p>
    <w:p w14:paraId="4D475F42" w14:textId="77777777" w:rsidR="00B22A66" w:rsidRPr="0085556C" w:rsidRDefault="005D270D" w:rsidP="008555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jc w:val="both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General criminal litigation, conducted jury trials, early promotion to Special Prosecutions Unit (SPU) – “economic and white collar crimes”.</w:t>
      </w:r>
    </w:p>
    <w:p w14:paraId="461E367A" w14:textId="77777777" w:rsidR="00B22A66" w:rsidRPr="0085556C" w:rsidRDefault="005D270D" w:rsidP="008555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</w:pPr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General Counsel</w:t>
      </w:r>
    </w:p>
    <w:p w14:paraId="101CB573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</w:pPr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Alternative Health Care Connections, Inc. </w:t>
      </w:r>
    </w:p>
    <w:p w14:paraId="3869A910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Sarasota, FL</w:t>
      </w:r>
    </w:p>
    <w:p w14:paraId="48878BB3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January, 1995 — January, 1997 (2 years)</w:t>
      </w:r>
    </w:p>
    <w:p w14:paraId="13073769" w14:textId="77777777" w:rsidR="00B22A66" w:rsidRPr="0085556C" w:rsidRDefault="005D270D" w:rsidP="008555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Founding board member, President, legal, business and marketing planning for creation and</w:t>
      </w:r>
    </w:p>
    <w:p w14:paraId="16E56168" w14:textId="636E9078" w:rsidR="00B22A66" w:rsidRPr="0085556C" w:rsidRDefault="0052585B" w:rsidP="0085556C">
      <w:pPr>
        <w:widowControl w:val="0"/>
        <w:autoSpaceDE w:val="0"/>
        <w:autoSpaceDN w:val="0"/>
        <w:adjustRightInd w:val="0"/>
        <w:spacing w:after="0" w:line="240" w:lineRule="auto"/>
        <w:ind w:left="585" w:firstLine="135"/>
        <w:rPr>
          <w:rFonts w:ascii="Times New Roman" w:hAnsi="Times New Roman" w:cs="Times New Roman"/>
          <w:color w:val="800080"/>
          <w:sz w:val="20"/>
          <w:szCs w:val="20"/>
          <w:highlight w:val="white"/>
          <w:u w:val="single"/>
          <w:lang w:val="en"/>
        </w:rPr>
      </w:pPr>
      <w:r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d</w:t>
      </w:r>
      <w:r w:rsidR="005D270D"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evelopment of HMO style business model in preventive health care industry.</w:t>
      </w:r>
    </w:p>
    <w:p w14:paraId="78D69756" w14:textId="77777777" w:rsidR="00B22A66" w:rsidRPr="0085556C" w:rsidRDefault="005D270D" w:rsidP="008555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</w:pPr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General Counsel</w:t>
      </w:r>
    </w:p>
    <w:p w14:paraId="5B78C629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</w:pPr>
      <w:proofErr w:type="spellStart"/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TransWorld</w:t>
      </w:r>
      <w:proofErr w:type="spellEnd"/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 xml:space="preserve"> Electronics, Inc </w:t>
      </w:r>
    </w:p>
    <w:p w14:paraId="4356FFEA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St. Petersburg, FL</w:t>
      </w:r>
    </w:p>
    <w:p w14:paraId="7BA498DC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January, 1995 – January, 1996 (1 year)</w:t>
      </w:r>
    </w:p>
    <w:p w14:paraId="74891C7D" w14:textId="77777777" w:rsidR="00B22A66" w:rsidRPr="0085556C" w:rsidRDefault="005D270D" w:rsidP="008555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Founding board member, CEO, legal and business planning &amp; investor presentation; ongoing international source consulting and development for distributor of electronic components.</w:t>
      </w:r>
    </w:p>
    <w:p w14:paraId="4B16EF41" w14:textId="77777777" w:rsidR="00B22A66" w:rsidRPr="0085556C" w:rsidRDefault="005D270D" w:rsidP="008555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</w:pPr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Attorney</w:t>
      </w:r>
    </w:p>
    <w:p w14:paraId="49E57697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</w:pPr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 xml:space="preserve">Jacobs, </w:t>
      </w:r>
      <w:proofErr w:type="spellStart"/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Forlizzo</w:t>
      </w:r>
      <w:proofErr w:type="spellEnd"/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 xml:space="preserve"> &amp; Neal, P.A.</w:t>
      </w:r>
    </w:p>
    <w:p w14:paraId="030360DE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Tampa, FL </w:t>
      </w:r>
    </w:p>
    <w:p w14:paraId="33A7C83E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January, 1994 — January, 1995 (1 year)</w:t>
      </w:r>
    </w:p>
    <w:p w14:paraId="46B9B0B7" w14:textId="77777777" w:rsidR="00B22A66" w:rsidRPr="0085556C" w:rsidRDefault="005D270D" w:rsidP="008555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General civil litigation, complex corporate bankruptcy, commercial litigation, environmental &amp; CERCLA, FL Land Trust securitization planning, research and investigations.</w:t>
      </w:r>
    </w:p>
    <w:p w14:paraId="5CBD442E" w14:textId="77777777" w:rsidR="00B22A66" w:rsidRPr="0085556C" w:rsidRDefault="005D270D" w:rsidP="008555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</w:pPr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Attorney</w:t>
      </w:r>
    </w:p>
    <w:p w14:paraId="63ED8189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</w:pPr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 xml:space="preserve">Tew, </w:t>
      </w:r>
      <w:proofErr w:type="spellStart"/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Zinober</w:t>
      </w:r>
      <w:proofErr w:type="spellEnd"/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 xml:space="preserve">, Barnes, </w:t>
      </w:r>
      <w:proofErr w:type="spellStart"/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Zimmet</w:t>
      </w:r>
      <w:proofErr w:type="spellEnd"/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 xml:space="preserve"> &amp; </w:t>
      </w:r>
      <w:proofErr w:type="spellStart"/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Unice</w:t>
      </w:r>
      <w:proofErr w:type="spellEnd"/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, P.A.</w:t>
      </w:r>
    </w:p>
    <w:p w14:paraId="298F4308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Clearwater, FL</w:t>
      </w:r>
    </w:p>
    <w:p w14:paraId="780B50B6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January, 1992 — December, 1992 (1 year)</w:t>
      </w:r>
    </w:p>
    <w:p w14:paraId="652448E8" w14:textId="65C36F71" w:rsidR="00B22A66" w:rsidRPr="0085556C" w:rsidRDefault="005D270D" w:rsidP="008555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General civil litigation, research, insurance defense, land use and environmen</w:t>
      </w:r>
      <w:r w:rsidR="0052585B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tal issues &amp; CERCLA, RE</w:t>
      </w: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litigation and transactions.</w:t>
      </w:r>
    </w:p>
    <w:p w14:paraId="3C0DD09C" w14:textId="77777777" w:rsidR="00B22A66" w:rsidRPr="0085556C" w:rsidRDefault="005D270D" w:rsidP="008555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</w:pPr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Attorney</w:t>
      </w:r>
    </w:p>
    <w:p w14:paraId="7908D2D3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</w:pPr>
      <w:proofErr w:type="spellStart"/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VanWinkle</w:t>
      </w:r>
      <w:proofErr w:type="spellEnd"/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, Buck, Wall, Starnes &amp; Davis, P.A </w:t>
      </w:r>
    </w:p>
    <w:p w14:paraId="628CE6E8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Asheville, NC</w:t>
      </w:r>
    </w:p>
    <w:p w14:paraId="52832EAB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January, 1991 — December, 1991 (12 months)</w:t>
      </w:r>
    </w:p>
    <w:p w14:paraId="0DA22E8A" w14:textId="77777777" w:rsidR="00B22A66" w:rsidRDefault="005D270D" w:rsidP="008555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General civil litigation, insurance defense, trusts/estates, research and investigations with the oldest law firm in NC.</w:t>
      </w:r>
    </w:p>
    <w:p w14:paraId="3B8147C3" w14:textId="77777777" w:rsidR="00C46B1E" w:rsidRPr="00C46B1E" w:rsidRDefault="00C46B1E" w:rsidP="00C46B1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/>
        <w:rPr>
          <w:rFonts w:ascii="Times New Roman" w:hAnsi="Times New Roman" w:cs="Times New Roman"/>
          <w:color w:val="A6A6A6" w:themeColor="background1" w:themeShade="A6"/>
          <w:sz w:val="20"/>
          <w:szCs w:val="20"/>
          <w:highlight w:val="white"/>
          <w:lang w:val="en"/>
        </w:rPr>
      </w:pPr>
    </w:p>
    <w:p w14:paraId="21E02480" w14:textId="79EB602D" w:rsidR="00D11A9A" w:rsidRPr="00C46B1E" w:rsidRDefault="00D11A9A" w:rsidP="0085556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  <w:u w:val="single"/>
          <w:lang w:val="en"/>
        </w:rPr>
      </w:pPr>
      <w:r w:rsidRPr="00C46B1E">
        <w:rPr>
          <w:rFonts w:ascii="Times New Roman" w:hAnsi="Times New Roman" w:cs="Times New Roman"/>
          <w:color w:val="A6A6A6" w:themeColor="background1" w:themeShade="A6"/>
          <w:sz w:val="24"/>
          <w:szCs w:val="24"/>
          <w:u w:val="single"/>
          <w:lang w:val="en"/>
        </w:rPr>
        <w:t>P</w:t>
      </w:r>
      <w:r w:rsidR="00C46B1E" w:rsidRPr="00C46B1E">
        <w:rPr>
          <w:rFonts w:ascii="Times New Roman" w:hAnsi="Times New Roman" w:cs="Times New Roman"/>
          <w:color w:val="A6A6A6" w:themeColor="background1" w:themeShade="A6"/>
          <w:sz w:val="24"/>
          <w:szCs w:val="24"/>
          <w:u w:val="single"/>
          <w:lang w:val="en"/>
        </w:rPr>
        <w:t>ROFESSIONAL LICENSING</w:t>
      </w:r>
    </w:p>
    <w:p w14:paraId="2EE4F71A" w14:textId="6B5E2422" w:rsidR="00D11A9A" w:rsidRDefault="00D11A9A" w:rsidP="0085556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lang w:val="en"/>
        </w:rPr>
        <w:t>FL Bar -- #887780; FL RE Broker -- #BK3054632; formerly NC Bar (voluntarily inactive); formerly licensed in Health, Life &amp; Annuities; formerly licensed in securities, Series 6 &amp; 64</w:t>
      </w:r>
      <w:r w:rsidR="00C46B1E">
        <w:rPr>
          <w:rFonts w:ascii="Times New Roman" w:hAnsi="Times New Roman" w:cs="Times New Roman"/>
          <w:color w:val="333333"/>
          <w:sz w:val="20"/>
          <w:szCs w:val="20"/>
          <w:lang w:val="en"/>
        </w:rPr>
        <w:t>, Blue sky</w:t>
      </w:r>
      <w:r w:rsidRPr="0085556C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 – Futures; </w:t>
      </w:r>
      <w:r w:rsidR="00C46B1E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current </w:t>
      </w:r>
      <w:r w:rsidRPr="0085556C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agent for </w:t>
      </w:r>
      <w:r w:rsidR="00C46B1E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The FUND, </w:t>
      </w:r>
      <w:r w:rsidRPr="0085556C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Attorney's Title insurance </w:t>
      </w:r>
      <w:r w:rsidR="00C46B1E">
        <w:rPr>
          <w:rFonts w:ascii="Times New Roman" w:hAnsi="Times New Roman" w:cs="Times New Roman"/>
          <w:color w:val="333333"/>
          <w:sz w:val="20"/>
          <w:szCs w:val="20"/>
          <w:lang w:val="en"/>
        </w:rPr>
        <w:t>–</w:t>
      </w:r>
      <w:r w:rsidRPr="0085556C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 </w:t>
      </w:r>
      <w:proofErr w:type="spellStart"/>
      <w:r w:rsidR="00C46B1E">
        <w:rPr>
          <w:rFonts w:ascii="Times New Roman" w:hAnsi="Times New Roman" w:cs="Times New Roman"/>
          <w:color w:val="333333"/>
          <w:sz w:val="20"/>
          <w:szCs w:val="20"/>
          <w:lang w:val="en"/>
        </w:rPr>
        <w:t>Resid</w:t>
      </w:r>
      <w:proofErr w:type="spellEnd"/>
      <w:r w:rsidR="00C46B1E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/Commercial </w:t>
      </w:r>
      <w:r w:rsidRPr="0085556C">
        <w:rPr>
          <w:rFonts w:ascii="Times New Roman" w:hAnsi="Times New Roman" w:cs="Times New Roman"/>
          <w:color w:val="333333"/>
          <w:sz w:val="20"/>
          <w:szCs w:val="20"/>
          <w:lang w:val="en"/>
        </w:rPr>
        <w:t>RE Closings; invited member -- U of MD International Incubator (</w:t>
      </w:r>
      <w:r w:rsidR="00C46B1E">
        <w:rPr>
          <w:rFonts w:ascii="Times New Roman" w:hAnsi="Times New Roman" w:cs="Times New Roman"/>
          <w:color w:val="333333"/>
          <w:sz w:val="20"/>
          <w:szCs w:val="20"/>
          <w:lang w:val="en"/>
        </w:rPr>
        <w:t>“</w:t>
      </w:r>
      <w:r w:rsidRPr="0085556C">
        <w:rPr>
          <w:rFonts w:ascii="Times New Roman" w:hAnsi="Times New Roman" w:cs="Times New Roman"/>
          <w:color w:val="333333"/>
          <w:sz w:val="20"/>
          <w:szCs w:val="20"/>
          <w:lang w:val="en"/>
        </w:rPr>
        <w:t>MI2</w:t>
      </w:r>
      <w:r w:rsidR="00C46B1E">
        <w:rPr>
          <w:rFonts w:ascii="Times New Roman" w:hAnsi="Times New Roman" w:cs="Times New Roman"/>
          <w:color w:val="333333"/>
          <w:sz w:val="20"/>
          <w:szCs w:val="20"/>
          <w:lang w:val="en"/>
        </w:rPr>
        <w:t>”</w:t>
      </w:r>
      <w:r w:rsidRPr="0085556C">
        <w:rPr>
          <w:rFonts w:ascii="Times New Roman" w:hAnsi="Times New Roman" w:cs="Times New Roman"/>
          <w:color w:val="333333"/>
          <w:sz w:val="20"/>
          <w:szCs w:val="20"/>
          <w:lang w:val="en"/>
        </w:rPr>
        <w:t>); FINRA/SEC registered Attorney.</w:t>
      </w:r>
    </w:p>
    <w:p w14:paraId="105CA6E5" w14:textId="77777777" w:rsidR="00EF7AFA" w:rsidRPr="0085556C" w:rsidRDefault="00EF7AFA" w:rsidP="0085556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</w:p>
    <w:p w14:paraId="20E8678E" w14:textId="77777777" w:rsidR="00B22A66" w:rsidRPr="00EF7AFA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888888"/>
          <w:sz w:val="24"/>
          <w:szCs w:val="24"/>
          <w:highlight w:val="white"/>
          <w:u w:val="single"/>
          <w:lang w:val="en"/>
        </w:rPr>
      </w:pPr>
      <w:r w:rsidRPr="00EF7AFA">
        <w:rPr>
          <w:rFonts w:ascii="Times New Roman" w:hAnsi="Times New Roman" w:cs="Times New Roman"/>
          <w:caps/>
          <w:color w:val="888888"/>
          <w:sz w:val="24"/>
          <w:szCs w:val="24"/>
          <w:highlight w:val="white"/>
          <w:u w:val="single"/>
          <w:lang w:val="en"/>
        </w:rPr>
        <w:t>EDUCATION</w:t>
      </w:r>
    </w:p>
    <w:p w14:paraId="69AAD86F" w14:textId="5E8239DD" w:rsidR="00C46B1E" w:rsidRDefault="00C46B1E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Virginia Episcopal School (“VES”)</w:t>
      </w:r>
    </w:p>
    <w:p w14:paraId="09F9BE6E" w14:textId="42195AD8" w:rsidR="00C46B1E" w:rsidRDefault="00C46B1E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  <w:highlight w:val="white"/>
          <w:lang w:val="en"/>
        </w:rPr>
      </w:pPr>
      <w:r w:rsidRPr="00C46B1E">
        <w:rPr>
          <w:rFonts w:ascii="Times New Roman" w:hAnsi="Times New Roman" w:cs="Times New Roman"/>
          <w:bCs/>
          <w:color w:val="333333"/>
          <w:sz w:val="20"/>
          <w:szCs w:val="20"/>
          <w:highlight w:val="white"/>
          <w:lang w:val="en"/>
        </w:rPr>
        <w:t>Virginia Prep League</w:t>
      </w:r>
    </w:p>
    <w:p w14:paraId="61BED95F" w14:textId="3CDC20AC" w:rsidR="00C46B1E" w:rsidRDefault="00C46B1E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  <w:highlight w:val="white"/>
          <w:lang w:val="en"/>
        </w:rPr>
      </w:pPr>
      <w:r>
        <w:rPr>
          <w:rFonts w:ascii="Times New Roman" w:hAnsi="Times New Roman" w:cs="Times New Roman"/>
          <w:bCs/>
          <w:color w:val="333333"/>
          <w:sz w:val="20"/>
          <w:szCs w:val="20"/>
          <w:highlight w:val="white"/>
          <w:lang w:val="en"/>
        </w:rPr>
        <w:t>Cum Laude, 2</w:t>
      </w:r>
      <w:r w:rsidRPr="00C46B1E">
        <w:rPr>
          <w:rFonts w:ascii="Times New Roman" w:hAnsi="Times New Roman" w:cs="Times New Roman"/>
          <w:bCs/>
          <w:color w:val="333333"/>
          <w:sz w:val="20"/>
          <w:szCs w:val="20"/>
          <w:highlight w:val="white"/>
          <w:vertAlign w:val="superscript"/>
          <w:lang w:val="en"/>
        </w:rPr>
        <w:t>nd</w:t>
      </w:r>
      <w:r>
        <w:rPr>
          <w:rFonts w:ascii="Times New Roman" w:hAnsi="Times New Roman" w:cs="Times New Roman"/>
          <w:bCs/>
          <w:color w:val="333333"/>
          <w:sz w:val="20"/>
          <w:szCs w:val="20"/>
          <w:highlight w:val="white"/>
          <w:lang w:val="en"/>
        </w:rPr>
        <w:t xml:space="preserve"> in class</w:t>
      </w:r>
    </w:p>
    <w:p w14:paraId="63DE3D2D" w14:textId="73FD7BC5" w:rsidR="00C46B1E" w:rsidRDefault="00C46B1E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  <w:highlight w:val="white"/>
          <w:lang w:val="en"/>
        </w:rPr>
      </w:pPr>
      <w:r>
        <w:rPr>
          <w:rFonts w:ascii="Times New Roman" w:hAnsi="Times New Roman" w:cs="Times New Roman"/>
          <w:bCs/>
          <w:color w:val="333333"/>
          <w:sz w:val="20"/>
          <w:szCs w:val="20"/>
          <w:highlight w:val="white"/>
          <w:lang w:val="en"/>
        </w:rPr>
        <w:t>Class of 1981</w:t>
      </w:r>
    </w:p>
    <w:p w14:paraId="4FB3B964" w14:textId="77777777" w:rsidR="00C46B1E" w:rsidRPr="00C46B1E" w:rsidRDefault="00C46B1E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  <w:highlight w:val="white"/>
          <w:lang w:val="en"/>
        </w:rPr>
      </w:pPr>
    </w:p>
    <w:p w14:paraId="0ED97487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</w:pPr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DAVIDSON College</w:t>
      </w:r>
    </w:p>
    <w:p w14:paraId="47580C86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Davidson, NC</w:t>
      </w:r>
    </w:p>
    <w:p w14:paraId="17E55456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i/>
          <w:iCs/>
          <w:color w:val="333333"/>
          <w:sz w:val="20"/>
          <w:szCs w:val="20"/>
          <w:highlight w:val="white"/>
          <w:lang w:val="en"/>
        </w:rPr>
        <w:t>B.A. – Liberal Arts</w:t>
      </w:r>
    </w:p>
    <w:p w14:paraId="53E1310C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Philosophy/Humanities - 3.5 GPA</w:t>
      </w:r>
    </w:p>
    <w:p w14:paraId="01236FFB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Degree date: 1986 </w:t>
      </w:r>
    </w:p>
    <w:p w14:paraId="478BA2C3" w14:textId="77777777" w:rsidR="00B22A66" w:rsidRPr="0085556C" w:rsidRDefault="00B22A66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</w:p>
    <w:p w14:paraId="52EFDD9E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University of MIAMI</w:t>
      </w: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 xml:space="preserve"> </w:t>
      </w:r>
    </w:p>
    <w:p w14:paraId="5715E657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Coral Gables, FL</w:t>
      </w:r>
    </w:p>
    <w:p w14:paraId="7E327FAD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i/>
          <w:iCs/>
          <w:color w:val="333333"/>
          <w:sz w:val="20"/>
          <w:szCs w:val="20"/>
          <w:highlight w:val="white"/>
          <w:lang w:val="en"/>
        </w:rPr>
        <w:t>JD – Jurisprudence Doctorate in Law</w:t>
      </w:r>
    </w:p>
    <w:p w14:paraId="72591B83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Business Law emphasis – 3.5 GPA</w:t>
      </w:r>
    </w:p>
    <w:p w14:paraId="5F81609B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Degree date: 1990</w:t>
      </w:r>
    </w:p>
    <w:p w14:paraId="0164096E" w14:textId="77777777" w:rsidR="00B22A66" w:rsidRPr="0085556C" w:rsidRDefault="00B22A66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</w:p>
    <w:p w14:paraId="75CA82BF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</w:pPr>
      <w:r w:rsidRPr="0085556C">
        <w:rPr>
          <w:rFonts w:ascii="Times New Roman" w:hAnsi="Times New Roman" w:cs="Times New Roman"/>
          <w:b/>
          <w:bCs/>
          <w:color w:val="333333"/>
          <w:sz w:val="20"/>
          <w:szCs w:val="20"/>
          <w:highlight w:val="white"/>
          <w:u w:val="single"/>
          <w:lang w:val="en"/>
        </w:rPr>
        <w:t>University of MIAMI</w:t>
      </w:r>
    </w:p>
    <w:p w14:paraId="7506C5A8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Coral Gables, FL</w:t>
      </w:r>
    </w:p>
    <w:p w14:paraId="1FD9B58B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i/>
          <w:iCs/>
          <w:color w:val="333333"/>
          <w:sz w:val="20"/>
          <w:szCs w:val="20"/>
          <w:highlight w:val="white"/>
          <w:lang w:val="en"/>
        </w:rPr>
        <w:lastRenderedPageBreak/>
        <w:t xml:space="preserve">LL.M – Legal Laureate Masters – </w:t>
      </w:r>
      <w:proofErr w:type="spellStart"/>
      <w:r w:rsidRPr="0085556C">
        <w:rPr>
          <w:rFonts w:ascii="Times New Roman" w:hAnsi="Times New Roman" w:cs="Times New Roman"/>
          <w:i/>
          <w:iCs/>
          <w:color w:val="333333"/>
          <w:sz w:val="20"/>
          <w:szCs w:val="20"/>
          <w:highlight w:val="white"/>
          <w:lang w:val="en"/>
        </w:rPr>
        <w:t>postdoctorate</w:t>
      </w:r>
      <w:proofErr w:type="spellEnd"/>
    </w:p>
    <w:p w14:paraId="7E16648B" w14:textId="77777777" w:rsidR="00B22A66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“Real Property Development and Finance” – 3.8 GPA</w:t>
      </w:r>
    </w:p>
    <w:p w14:paraId="3C1C1A8A" w14:textId="77777777" w:rsidR="005D270D" w:rsidRPr="0085556C" w:rsidRDefault="005D270D" w:rsidP="0085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white"/>
          <w:lang w:val="en"/>
        </w:rPr>
      </w:pPr>
      <w:r w:rsidRPr="0085556C">
        <w:rPr>
          <w:rFonts w:ascii="Times New Roman" w:hAnsi="Times New Roman" w:cs="Times New Roman"/>
          <w:color w:val="333333"/>
          <w:sz w:val="20"/>
          <w:szCs w:val="20"/>
          <w:highlight w:val="white"/>
          <w:lang w:val="en"/>
        </w:rPr>
        <w:t>Degree date: 1992</w:t>
      </w:r>
    </w:p>
    <w:sectPr w:rsidR="005D270D" w:rsidRPr="0085556C" w:rsidSect="0063502A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90D9" w14:textId="77777777" w:rsidR="007C0B42" w:rsidRDefault="007C0B42" w:rsidP="00D77EC1">
      <w:pPr>
        <w:spacing w:after="0" w:line="240" w:lineRule="auto"/>
      </w:pPr>
      <w:r>
        <w:separator/>
      </w:r>
    </w:p>
  </w:endnote>
  <w:endnote w:type="continuationSeparator" w:id="0">
    <w:p w14:paraId="75170402" w14:textId="77777777" w:rsidR="007C0B42" w:rsidRDefault="007C0B42" w:rsidP="00D7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D51D3" w14:textId="77777777" w:rsidR="00D77EC1" w:rsidRDefault="00D77E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8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E8C81F" w14:textId="77777777" w:rsidR="00D77EC1" w:rsidRDefault="00D77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3E26" w14:textId="77777777" w:rsidR="007C0B42" w:rsidRDefault="007C0B42" w:rsidP="00D77EC1">
      <w:pPr>
        <w:spacing w:after="0" w:line="240" w:lineRule="auto"/>
      </w:pPr>
      <w:r>
        <w:separator/>
      </w:r>
    </w:p>
  </w:footnote>
  <w:footnote w:type="continuationSeparator" w:id="0">
    <w:p w14:paraId="1E15B03A" w14:textId="77777777" w:rsidR="007C0B42" w:rsidRDefault="007C0B42" w:rsidP="00D7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A88EA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AE"/>
    <w:rsid w:val="000B56B7"/>
    <w:rsid w:val="000C547A"/>
    <w:rsid w:val="001620C3"/>
    <w:rsid w:val="00195A29"/>
    <w:rsid w:val="00255664"/>
    <w:rsid w:val="0026626F"/>
    <w:rsid w:val="002821F8"/>
    <w:rsid w:val="002B4843"/>
    <w:rsid w:val="0037743A"/>
    <w:rsid w:val="003F0C7C"/>
    <w:rsid w:val="003F18CE"/>
    <w:rsid w:val="00436FF9"/>
    <w:rsid w:val="00475B53"/>
    <w:rsid w:val="004E37AE"/>
    <w:rsid w:val="0052585B"/>
    <w:rsid w:val="00526C5B"/>
    <w:rsid w:val="005D270D"/>
    <w:rsid w:val="00603E29"/>
    <w:rsid w:val="0063502A"/>
    <w:rsid w:val="00721B3A"/>
    <w:rsid w:val="00793607"/>
    <w:rsid w:val="007C0B42"/>
    <w:rsid w:val="00833F03"/>
    <w:rsid w:val="0085556C"/>
    <w:rsid w:val="00886573"/>
    <w:rsid w:val="008D7BE6"/>
    <w:rsid w:val="008E6C27"/>
    <w:rsid w:val="008F2A73"/>
    <w:rsid w:val="00A16B7E"/>
    <w:rsid w:val="00AB5D72"/>
    <w:rsid w:val="00AC477E"/>
    <w:rsid w:val="00B22A66"/>
    <w:rsid w:val="00BA72D9"/>
    <w:rsid w:val="00C46B1E"/>
    <w:rsid w:val="00D11A9A"/>
    <w:rsid w:val="00D77EC1"/>
    <w:rsid w:val="00D9559A"/>
    <w:rsid w:val="00E21265"/>
    <w:rsid w:val="00E76FF5"/>
    <w:rsid w:val="00EA180D"/>
    <w:rsid w:val="00EB2148"/>
    <w:rsid w:val="00EF7AFA"/>
    <w:rsid w:val="00F50D53"/>
    <w:rsid w:val="00F71240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393EC"/>
  <w14:defaultImageDpi w14:val="0"/>
  <w15:docId w15:val="{1A6D3211-549C-4CC2-8384-6680A156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EC1"/>
  </w:style>
  <w:style w:type="paragraph" w:styleId="Footer">
    <w:name w:val="footer"/>
    <w:basedOn w:val="Normal"/>
    <w:link w:val="FooterChar"/>
    <w:uiPriority w:val="99"/>
    <w:unhideWhenUsed/>
    <w:rsid w:val="00D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adley@GeneralCounsel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6294</Characters>
  <Application>Microsoft Office Word</Application>
  <DocSecurity>0</DocSecurity>
  <PresentationFormat>12|.DOCX</PresentationFormat>
  <Lines>299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T5600</dc:creator>
  <cp:keywords/>
  <dc:description/>
  <cp:lastModifiedBy>Bradley Essman</cp:lastModifiedBy>
  <cp:revision>2</cp:revision>
  <dcterms:created xsi:type="dcterms:W3CDTF">2021-06-10T16:00:00Z</dcterms:created>
  <dcterms:modified xsi:type="dcterms:W3CDTF">2021-06-10T16:00:00Z</dcterms:modified>
</cp:coreProperties>
</file>